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Dotační titul č. 1: Podpora významných akcí v cestovním ruchu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39"/>
        <w:gridCol w:w="2851"/>
        <w:gridCol w:w="27"/>
        <w:gridCol w:w="2166"/>
        <w:gridCol w:w="1566"/>
        <w:gridCol w:w="712"/>
      </w:tblGrid>
      <w:tr>
        <w:trPr>
          <w:trHeight w:val="288" w:hRule="exact"/>
        </w:trPr>
        <w:tc>
          <w:tcPr>
            <w:tcW w:w="1739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</w:tr>
      <w:tr>
        <w:trPr>
          <w:trHeight w:val="300" w:hRule="atLeast"/>
        </w:trPr>
        <w:tc>
          <w:tcPr>
            <w:tcW w:w="1739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Stanovená Kritéria</w:t>
            </w:r>
          </w:p>
        </w:tc>
        <w:tc>
          <w:tcPr>
            <w:tcW w:w="2851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Popis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Jak doložit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Bodové hodnocení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</w:r>
          </w:p>
        </w:tc>
      </w:tr>
      <w:tr>
        <w:trPr>
          <w:trHeight w:val="288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1. Počet účastníků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Průměrný počet návštěvníků za poslední 3 ročníky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Statistiky z posledních tří ročníků, vstupenky, registrace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nad 500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do 500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1035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2. Ekonomický dopad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Předpokládané využití místní infrastruktury (hotely, restaurace, služby )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Položkový rozpočet s označením „místní dodavatel“ a objednávky/potvrzení partnerů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Výrazný a dobře doložený  dopad. 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15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1-2 místní služby doloženy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Obecná zmínka bez doložení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Bez doložení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3. Marketing a propagace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Viditelnost akce v médiích, online, tisk, sociální sítě. Zaměření na dosah mimo region a přínos pro zviditelnění místa konání (max. 6 bodů)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Popis marketingového plánu 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využití webu a sociálních sítí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1164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doložení spolupráce s TIC /TO (viz. Příloha č.8)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5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zapojení rádia/TV, influencerů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288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4. Délka trvání akce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Počet dní konání akce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Harmonogram/program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 a více dní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 dny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 den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5. Termín konání akce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se koná mimo hlavní sezónu a přispívá k rozšíření turistické nabídky (např. jaro, podzim, zima)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Datum konání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březen-květen, září-listopad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prosinec, leden, únor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červen, červenec, srpen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</w:t>
            </w:r>
          </w:p>
        </w:tc>
      </w:tr>
      <w:tr>
        <w:trPr>
          <w:trHeight w:val="648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6. Inovativnost a originalita akce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Originální nápady, netradiční formáty, nové cílové skupiny nebo neobvyklé kombinace témat, obohacující cestovní ruch v regionu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Popis akce a programu, srovnání s běžnou nabídkou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Výrazně originální a přitažlivá 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15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Zajímavá, ale podobná už existuje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Běžná, bez nové hodnoty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864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7. Využití atraktivit v kraji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Propagace, zapojení a jiné využití přírodní, technické historické či jiné turistické atraktivity regionu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Popis akce a programu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Úzké spojení s atraktivitami regionu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Částečné využití atraktivit regionu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nemá žádnou vazbu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8. Finanční spoluúčast žadatele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Podíl vlastních/neveřejných zdrojů na celkových nákladech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 </w:t>
            </w:r>
            <w:r>
              <w:rPr>
                <w:szCs w:val="24"/>
                <w:lang w:val="cs-CZ" w:bidi="ar-SA"/>
              </w:rPr>
              <w:t>Rozpočet akce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&gt;80 %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66-80 %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&lt; 65 %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864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9. Finanční dostupnost pro návštěvníky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Otevřenost a přístupnost akce široké veřejnosti z pohledu výše vstupného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Stručný popis v žádosti (např. vstupné, slevy, cílové skupiny), případně odkaz na web, ceník, program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Akce je zcela zdarma pro všechny návštěvníky 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1152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Symbolické/poplatkové vstupné do 100 Kč za dospělou osobu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864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Kombinace bezplatné a zpoplatněné části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</w:t>
            </w:r>
          </w:p>
        </w:tc>
      </w:tr>
      <w:tr>
        <w:trPr>
          <w:trHeight w:val="876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Běžné komerční vstupné (100 Kč a více)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1152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10. Dlouhodobá udržitelnost akce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Plán na opakování akce v dalších letech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Strategický plán, popis záměru do budoucna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má dlouhodobou perspektivu a plán na více ročníků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je zcela jednorázová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73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11. Bezbariérovost a přístupnost akce</w:t>
            </w:r>
          </w:p>
        </w:tc>
        <w:tc>
          <w:tcPr>
            <w:tcW w:w="2878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Zohlednění potřeby osob se zdravotním nebo jiným omezením, seniorů, rodičů s kočárky</w:t>
            </w:r>
          </w:p>
        </w:tc>
        <w:tc>
          <w:tcPr>
            <w:tcW w:w="2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Popis přístupnosti, fotodokumentace, plánek</w:t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je plně přístupná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Částečně přístupná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73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878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Nepřístupná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Dotační titul č. 2: Podpora akcí cestovního ruchu v oblasti MICE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6"/>
        <w:gridCol w:w="2914"/>
        <w:gridCol w:w="61"/>
        <w:gridCol w:w="2236"/>
        <w:gridCol w:w="1438"/>
        <w:gridCol w:w="616"/>
      </w:tblGrid>
      <w:tr>
        <w:trPr>
          <w:trHeight w:val="300" w:hRule="atLeast"/>
        </w:trPr>
        <w:tc>
          <w:tcPr>
            <w:tcW w:w="1796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Stanovená Kritéria</w:t>
            </w:r>
          </w:p>
        </w:tc>
        <w:tc>
          <w:tcPr>
            <w:tcW w:w="2914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Popis</w:t>
            </w:r>
          </w:p>
        </w:tc>
        <w:tc>
          <w:tcPr>
            <w:tcW w:w="61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Jak doložit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  <w:t>Bodové hodnocení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24"/>
                <w:lang w:val="cs-CZ" w:bidi="ar-SA"/>
              </w:rPr>
            </w:r>
          </w:p>
        </w:tc>
      </w:tr>
      <w:tr>
        <w:trPr>
          <w:trHeight w:val="288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1. Počet účastníků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Předpokládány počet návštěvníků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Kapacity akce, předchozí statistiky, registrace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vyšší než 100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20-100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2. Přínos pro cestovní ruch v kraji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Zapojení účastníků do poznávání regionu, zážitkové a outdoorové aktivity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Popis programu, plán aktivit, fotodokumentace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Min. 2 aktivity zapojující účastníky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Min. 1 aktivita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Žádné aktivity 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576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3. Turistický přesah akce 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Původ účastníků akce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Statistiky účastníků s vyznačením jejich původů 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Účastníci z jiných regionů a zemí 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Regionální účastníci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Místní účastníci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4. Marketing a propagace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Viditelnost akce a propagace regionu v médiích, online, tisk, sociální sítě. Zaměření na dosah mimo region a přínos pro zviditelnění místa konání (max. 6 bodů)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Popis marketingového plánu, výstupy z minulých let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Web a sociální sítě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876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Spolupráce s Moravian Silesian Tourism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588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Zapojení rádia/TV, influencerů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0-2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5. Délka trvání akce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Počet dní konání akce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Harmonogram/program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 a více dní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2 dny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6. Termín konání akce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Akce se koná mimo hlavní sezónu a přispívá k rozšíření turistické nabídky (např. jaro, podzim, zima)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Datum konání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Jaro, podzim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zima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léto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3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7. Finanční spoluúčast žadatele</w:t>
            </w:r>
          </w:p>
        </w:tc>
        <w:tc>
          <w:tcPr>
            <w:tcW w:w="2975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Podíl vlastních/neveřejných zdrojů na celkových nákladech</w:t>
            </w:r>
          </w:p>
        </w:tc>
        <w:tc>
          <w:tcPr>
            <w:tcW w:w="223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 xml:space="preserve"> </w:t>
            </w:r>
            <w:r>
              <w:rPr>
                <w:szCs w:val="24"/>
                <w:lang w:val="cs-CZ" w:bidi="ar-SA"/>
              </w:rPr>
              <w:t>Rozpočet akce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&gt;80 %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66-80 %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7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975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223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&lt; 65 %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pacing w:before="0" w:after="0"/>
              <w:rPr>
                <w:szCs w:val="24"/>
                <w:lang w:val="cs-CZ" w:bidi="ar-SA"/>
              </w:rPr>
            </w:pPr>
            <w:r>
              <w:rPr>
                <w:szCs w:val="24"/>
                <w:lang w:val="cs-CZ" w:bidi="ar-SA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2"/>
      <w:footerReference w:type="first" r:id="rId3"/>
      <w:type w:val="nextPage"/>
      <w:pgSz w:w="11906" w:h="16838"/>
      <w:pgMar w:left="1417" w:right="1417" w:gutter="0" w:header="0" w:top="1417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Tahoma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0" distL="0" distR="8890" simplePos="0" locked="0" layoutInCell="0" allowOverlap="1" relativeHeight="3" wp14:anchorId="592862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68300"/>
              <wp:effectExtent l="635" t="0" r="0" b="0"/>
              <wp:wrapNone/>
              <wp:docPr id="1" name="Textové pole 2" descr="Klasifikace informací: Neveřejné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36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lIns="254160" rIns="0" t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0pt;margin-top:0pt;width:137.2pt;height:28.95pt;mso-wrap-style:none;v-text-anchor:bottom;mso-position-horizontal:left;mso-position-horizontal-relative:page;mso-position-vertical:bottom;mso-position-vertical-relative:page" wp14:anchorId="592862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Calibri" w:cs="Calibri" w:ascii="Calibri" w:hAnsi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428b"/>
    <w:pPr>
      <w:widowControl/>
      <w:bidi w:val="0"/>
      <w:spacing w:lineRule="exact" w:line="280" w:before="0" w:after="0"/>
      <w:jc w:val="both"/>
    </w:pPr>
    <w:rPr>
      <w:rFonts w:ascii="Tahoma" w:hAnsi="Tahoma" w:eastAsia="Times New Roman" w:cs="Times New Roman"/>
      <w:color w:val="auto"/>
      <w:kern w:val="0"/>
      <w:sz w:val="20"/>
      <w:szCs w:val="24"/>
      <w:lang w:eastAsia="cs-CZ" w:val="cs-CZ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db428b"/>
    <w:pPr>
      <w:keepNext w:val="true"/>
      <w:keepLines/>
      <w:spacing w:lineRule="auto" w:line="276" w:before="360" w:after="80"/>
      <w:jc w:val="left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db428b"/>
    <w:pPr>
      <w:keepNext w:val="true"/>
      <w:keepLines/>
      <w:spacing w:lineRule="auto" w:line="276" w:before="160" w:after="80"/>
      <w:jc w:val="left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db428b"/>
    <w:pPr>
      <w:keepNext w:val="true"/>
      <w:keepLines/>
      <w:spacing w:lineRule="auto" w:line="276" w:before="160" w:after="80"/>
      <w:jc w:val="left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db428b"/>
    <w:pPr>
      <w:keepNext w:val="true"/>
      <w:keepLines/>
      <w:spacing w:lineRule="auto" w:line="276" w:before="80" w:after="40"/>
      <w:jc w:val="left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db428b"/>
    <w:pPr>
      <w:keepNext w:val="true"/>
      <w:keepLines/>
      <w:spacing w:lineRule="auto" w:line="276" w:before="80" w:after="40"/>
      <w:jc w:val="left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db428b"/>
    <w:pPr>
      <w:keepNext w:val="true"/>
      <w:keepLines/>
      <w:spacing w:lineRule="auto" w:line="276" w:before="40" w:after="0"/>
      <w:jc w:val="left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db428b"/>
    <w:pPr>
      <w:keepNext w:val="true"/>
      <w:keepLines/>
      <w:spacing w:lineRule="auto" w:line="276" w:before="40" w:after="0"/>
      <w:jc w:val="left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db428b"/>
    <w:pPr>
      <w:keepNext w:val="true"/>
      <w:keepLines/>
      <w:spacing w:lineRule="auto" w:line="276"/>
      <w:jc w:val="left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db428b"/>
    <w:pPr>
      <w:keepNext w:val="true"/>
      <w:keepLines/>
      <w:spacing w:lineRule="auto" w:line="276"/>
      <w:jc w:val="left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sz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db428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db428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db428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db428b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db428b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db428b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db428b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db428b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db428b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db428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db428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db42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428b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db4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28b"/>
    <w:rPr>
      <w:b/>
      <w:bCs/>
      <w:smallCaps/>
      <w:color w:val="0F4761" w:themeColor="accent1" w:themeShade="bf"/>
      <w:spacing w:val="5"/>
    </w:rPr>
  </w:style>
  <w:style w:type="character" w:styleId="ZpatChar" w:customStyle="1">
    <w:name w:val="Zápatí Char"/>
    <w:basedOn w:val="DefaultParagraphFont"/>
    <w:uiPriority w:val="99"/>
    <w:qFormat/>
    <w:rsid w:val="00db428b"/>
    <w:rPr>
      <w:rFonts w:ascii="Tahoma" w:hAnsi="Tahoma" w:eastAsia="Times New Roman" w:cs="Times New Roman"/>
      <w:kern w:val="0"/>
      <w:sz w:val="20"/>
      <w:lang w:eastAsia="cs-CZ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6a0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a46a0e"/>
    <w:rPr>
      <w:rFonts w:ascii="Tahoma" w:hAnsi="Tahoma" w:eastAsia="Times New Roman" w:cs="Times New Roman"/>
      <w:kern w:val="0"/>
      <w:sz w:val="20"/>
      <w:szCs w:val="20"/>
      <w:lang w:eastAsia="cs-CZ"/>
      <w14:ligatures w14:val="none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a46a0e"/>
    <w:rPr>
      <w:rFonts w:ascii="Tahoma" w:hAnsi="Tahoma" w:eastAsia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ovndk">
    <w:name w:val="Číslování řádků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Nzev">
    <w:name w:val="Title"/>
    <w:basedOn w:val="Normal"/>
    <w:next w:val="Normal"/>
    <w:link w:val="NzevChar"/>
    <w:uiPriority w:val="10"/>
    <w:qFormat/>
    <w:rsid w:val="00db428b"/>
    <w:pPr>
      <w:spacing w:lineRule="auto" w:line="240" w:before="0" w:after="80"/>
      <w:contextualSpacing/>
      <w:jc w:val="left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Podtitul">
    <w:name w:val="Subtitle"/>
    <w:basedOn w:val="Normal"/>
    <w:next w:val="Normal"/>
    <w:link w:val="PodnadpisChar"/>
    <w:uiPriority w:val="11"/>
    <w:qFormat/>
    <w:rsid w:val="00db428b"/>
    <w:pPr>
      <w:spacing w:lineRule="auto" w:line="276" w:before="0" w:after="160"/>
      <w:jc w:val="left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tChar"/>
    <w:uiPriority w:val="29"/>
    <w:qFormat/>
    <w:rsid w:val="00db428b"/>
    <w:pPr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b428b"/>
    <w:pPr>
      <w:spacing w:lineRule="auto" w:line="276" w:before="0" w:after="160"/>
      <w:ind w:left="720" w:hanging="0"/>
      <w:contextualSpacing/>
      <w:jc w:val="left"/>
    </w:pPr>
    <w:rPr>
      <w:rFonts w:ascii="Aptos" w:hAnsi="Aptos" w:eastAsia="Aptos" w:cs="" w:asciiTheme="minorHAnsi" w:cstheme="minorBidi" w:eastAsiaTheme="minorHAnsi" w:hAnsiTheme="minorHAnsi"/>
      <w:kern w:val="2"/>
      <w:sz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db428b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db428b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492cf4"/>
    <w:pPr>
      <w:widowControl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auto"/>
      <w:kern w:val="0"/>
      <w:sz w:val="20"/>
      <w:szCs w:val="24"/>
      <w:lang w:eastAsia="cs-CZ" w:val="cs-CZ" w:bidi="ar-SA"/>
      <w14:ligatures w14:val="none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a46a0e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46a0e"/>
    <w:pPr/>
    <w:rPr>
      <w:b/>
      <w:bCs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db42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d5e5fd365287472af4648ea716956ef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c9ae8346106c4df884fe42b2089c717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6A067262-7304-4FC6-88C8-D2202D852FBF}"/>
</file>

<file path=customXml/itemProps2.xml><?xml version="1.0" encoding="utf-8"?>
<ds:datastoreItem xmlns:ds="http://schemas.openxmlformats.org/officeDocument/2006/customXml" ds:itemID="{6986443E-7E83-47F6-8317-991C5CA72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6F3FB-A271-4035-A2E6-4862FBC3EA44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3</Pages>
  <Words>632</Words>
  <Characters>3551</Characters>
  <CharactersWithSpaces>4023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2025-07-18T09:07:00Z</dcterms:created>
  <dc:creator>Klimešová Marie</dc:creator>
  <dc:description/>
  <dc:language>cs-CZ</dc:language>
  <cp:lastModifiedBy/>
  <dcterms:modified xsi:type="dcterms:W3CDTF">2025-08-28T16:49:48Z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#000000,9,Calibri</vt:lpwstr>
  </property>
  <property fmtid="{D5CDD505-2E9C-101B-9397-08002B2CF9AE}" pid="3" name="ClassificationContentMarkingFooterShapeIds">
    <vt:lpwstr>44d53a05,30aa2f90,5f86d5cc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ContentTypeId">
    <vt:lpwstr>0x010100D6DF972F0AC7B0458AB9639462FF1CA0</vt:lpwstr>
  </property>
  <property fmtid="{D5CDD505-2E9C-101B-9397-08002B2CF9AE}" pid="6" name="MSIP_Label_215ad6d0-798b-44f9-b3fd-112ad6275fb4_ActionId">
    <vt:lpwstr>d75816a5-2917-47a0-a64e-683014513269</vt:lpwstr>
  </property>
  <property fmtid="{D5CDD505-2E9C-101B-9397-08002B2CF9AE}" pid="7" name="MSIP_Label_215ad6d0-798b-44f9-b3fd-112ad6275fb4_ContentBits">
    <vt:lpwstr>2</vt:lpwstr>
  </property>
  <property fmtid="{D5CDD505-2E9C-101B-9397-08002B2CF9AE}" pid="8" name="MSIP_Label_215ad6d0-798b-44f9-b3fd-112ad6275fb4_Enabled">
    <vt:lpwstr>true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etDate">
    <vt:lpwstr>2025-07-04T08:32:22Z</vt:lpwstr>
  </property>
  <property fmtid="{D5CDD505-2E9C-101B-9397-08002B2CF9AE}" pid="12" name="MSIP_Label_215ad6d0-798b-44f9-b3fd-112ad6275fb4_SiteId">
    <vt:lpwstr>39f24d0b-aa30-4551-8e81-43c77cf1000e</vt:lpwstr>
  </property>
  <property fmtid="{D5CDD505-2E9C-101B-9397-08002B2CF9AE}" pid="13" name="MSIP_Label_215ad6d0-798b-44f9-b3fd-112ad6275fb4_Tag">
    <vt:lpwstr>10, 3, 0, 1</vt:lpwstr>
  </property>
  <property fmtid="{D5CDD505-2E9C-101B-9397-08002B2CF9AE}" pid="14" name="MediaServiceImageTags">
    <vt:lpwstr/>
  </property>
  <property fmtid="{D5CDD505-2E9C-101B-9397-08002B2CF9AE}" pid="15" name="Podruhe">
    <vt:bool>0</vt:bool>
  </property>
</Properties>
</file>